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4307" w14:textId="57D1CA8D" w:rsidR="004655A8" w:rsidRPr="004655A8" w:rsidRDefault="004655A8" w:rsidP="004655A8">
      <w:pPr>
        <w:rPr>
          <w:lang w:val="en-GB"/>
        </w:rPr>
      </w:pPr>
      <w:r w:rsidRPr="004655A8">
        <w:rPr>
          <w:lang w:val="en-GB"/>
        </w:rPr>
        <w:t xml:space="preserve">Ekim 5 – Webinar 1 Soruları </w:t>
      </w:r>
    </w:p>
    <w:p w14:paraId="5BC60D34" w14:textId="77777777" w:rsidR="004655A8" w:rsidRPr="004655A8" w:rsidRDefault="004655A8" w:rsidP="004655A8">
      <w:pPr>
        <w:rPr>
          <w:lang w:val="en-GB"/>
        </w:rPr>
      </w:pPr>
      <w:r w:rsidRPr="004655A8">
        <w:rPr>
          <w:lang w:val="en-GB"/>
        </w:rPr>
        <w:t xml:space="preserve">Panel I </w:t>
      </w:r>
    </w:p>
    <w:tbl>
      <w:tblPr>
        <w:tblStyle w:val="TableGrid"/>
        <w:tblW w:w="0" w:type="auto"/>
        <w:tblLook w:val="04A0" w:firstRow="1" w:lastRow="0" w:firstColumn="1" w:lastColumn="0" w:noHBand="0" w:noVBand="1"/>
      </w:tblPr>
      <w:tblGrid>
        <w:gridCol w:w="4508"/>
        <w:gridCol w:w="4508"/>
      </w:tblGrid>
      <w:tr w:rsidR="004655A8" w:rsidRPr="005E7FE2" w14:paraId="68198C22" w14:textId="77777777" w:rsidTr="006405A5">
        <w:tc>
          <w:tcPr>
            <w:tcW w:w="4531" w:type="dxa"/>
          </w:tcPr>
          <w:p w14:paraId="57F55D6E" w14:textId="77777777" w:rsidR="004655A8" w:rsidRPr="004655A8" w:rsidRDefault="004655A8" w:rsidP="004655A8">
            <w:pPr>
              <w:spacing w:after="160" w:line="259" w:lineRule="auto"/>
              <w:rPr>
                <w:lang w:val="tr-TR"/>
              </w:rPr>
            </w:pPr>
            <w:r w:rsidRPr="004655A8">
              <w:rPr>
                <w:lang w:val="tr-TR"/>
              </w:rPr>
              <w:t>Her iki konuşmacıya yöneltilmek üzere - Her ne kadar CMUK zamanında uygulanmakta olan "suçun toplumda infial uyandırması söz konusu olduğunda tutuklama tedbirine başvurulabileceği" hususu yürürlükteki usul kanunu CMK 'da karşılık bulamamış ise de bir uygulayıcı olarak; gerek sosyal medyanın etkisiyle gerekse toplumsal baskı neticesinde bu saikle ve gerekçeyle bazı tutuklama kararları verildiğini gözlemliyorum. AYM ve AİHM'in bu husustaki tavrı ve tutumu nasıl olmaktadır, bu kararların ne kadar isabetli olduğunu söyleyebiliriz ?</w:t>
            </w:r>
          </w:p>
        </w:tc>
        <w:tc>
          <w:tcPr>
            <w:tcW w:w="4531" w:type="dxa"/>
          </w:tcPr>
          <w:p w14:paraId="7B0E211F" w14:textId="5C8DEE58" w:rsidR="004655A8" w:rsidRPr="00C730E2" w:rsidRDefault="00C730E2" w:rsidP="00934CDD">
            <w:pPr>
              <w:spacing w:after="160" w:line="259" w:lineRule="auto"/>
              <w:jc w:val="both"/>
              <w:rPr>
                <w:iCs/>
                <w:lang w:val="tr-TR"/>
              </w:rPr>
            </w:pPr>
            <w:r>
              <w:rPr>
                <w:iCs/>
                <w:lang w:val="tr-TR"/>
              </w:rPr>
              <w:t>Atfedilen suçun toplumda infial uyand</w:t>
            </w:r>
            <w:r>
              <w:rPr>
                <w:rFonts w:cstheme="minorHAnsi"/>
                <w:iCs/>
                <w:lang w:val="tr-TR"/>
              </w:rPr>
              <w:t>ı</w:t>
            </w:r>
            <w:r>
              <w:rPr>
                <w:iCs/>
                <w:lang w:val="tr-TR"/>
              </w:rPr>
              <w:t>rmas</w:t>
            </w:r>
            <w:r>
              <w:rPr>
                <w:rFonts w:ascii="Calibri" w:hAnsi="Calibri" w:cs="Calibri"/>
                <w:iCs/>
                <w:lang w:val="tr-TR"/>
              </w:rPr>
              <w:t>ı</w:t>
            </w:r>
            <w:r>
              <w:rPr>
                <w:iCs/>
                <w:lang w:val="tr-TR"/>
              </w:rPr>
              <w:t xml:space="preserve"> sebebiyle özgürlükten yoksun b</w:t>
            </w:r>
            <w:r>
              <w:rPr>
                <w:rFonts w:cstheme="minorHAnsi"/>
                <w:iCs/>
                <w:lang w:val="tr-TR"/>
              </w:rPr>
              <w:t>ı</w:t>
            </w:r>
            <w:r>
              <w:rPr>
                <w:iCs/>
                <w:lang w:val="tr-TR"/>
              </w:rPr>
              <w:t>rakma A</w:t>
            </w:r>
            <w:r>
              <w:rPr>
                <w:rFonts w:ascii="Calibri" w:hAnsi="Calibri" w:cs="Calibri"/>
                <w:iCs/>
                <w:lang w:val="tr-TR"/>
              </w:rPr>
              <w:t>İ</w:t>
            </w:r>
            <w:r>
              <w:rPr>
                <w:iCs/>
                <w:lang w:val="tr-TR"/>
              </w:rPr>
              <w:t>HM’nin kabul etti</w:t>
            </w:r>
            <w:r>
              <w:rPr>
                <w:rFonts w:cstheme="minorHAnsi"/>
                <w:iCs/>
                <w:lang w:val="tr-TR"/>
              </w:rPr>
              <w:t>ğ</w:t>
            </w:r>
            <w:r>
              <w:rPr>
                <w:iCs/>
                <w:lang w:val="tr-TR"/>
              </w:rPr>
              <w:t>i s</w:t>
            </w:r>
            <w:r>
              <w:rPr>
                <w:rFonts w:ascii="Calibri" w:hAnsi="Calibri" w:cs="Calibri"/>
                <w:iCs/>
                <w:lang w:val="tr-TR"/>
              </w:rPr>
              <w:t>ı</w:t>
            </w:r>
            <w:r>
              <w:rPr>
                <w:iCs/>
                <w:lang w:val="tr-TR"/>
              </w:rPr>
              <w:t>n</w:t>
            </w:r>
            <w:r>
              <w:rPr>
                <w:rFonts w:cstheme="minorHAnsi"/>
                <w:iCs/>
                <w:lang w:val="tr-TR"/>
              </w:rPr>
              <w:t>ı</w:t>
            </w:r>
            <w:r>
              <w:rPr>
                <w:iCs/>
                <w:lang w:val="tr-TR"/>
              </w:rPr>
              <w:t>rl</w:t>
            </w:r>
            <w:r>
              <w:rPr>
                <w:rFonts w:ascii="Calibri" w:hAnsi="Calibri" w:cs="Calibri"/>
                <w:iCs/>
                <w:lang w:val="tr-TR"/>
              </w:rPr>
              <w:t>ı</w:t>
            </w:r>
            <w:r>
              <w:rPr>
                <w:iCs/>
                <w:lang w:val="tr-TR"/>
              </w:rPr>
              <w:t xml:space="preserve"> say</w:t>
            </w:r>
            <w:r>
              <w:rPr>
                <w:rFonts w:cstheme="minorHAnsi"/>
                <w:iCs/>
                <w:lang w:val="tr-TR"/>
              </w:rPr>
              <w:t>ı</w:t>
            </w:r>
            <w:r>
              <w:rPr>
                <w:iCs/>
                <w:lang w:val="tr-TR"/>
              </w:rPr>
              <w:t>daki gerekçeden biri. Ancak kamu düzeninin korunmas</w:t>
            </w:r>
            <w:r>
              <w:rPr>
                <w:rFonts w:cstheme="minorHAnsi"/>
                <w:iCs/>
                <w:lang w:val="tr-TR"/>
              </w:rPr>
              <w:t>ı</w:t>
            </w:r>
            <w:r>
              <w:rPr>
                <w:iCs/>
                <w:lang w:val="tr-TR"/>
              </w:rPr>
              <w:t>n</w:t>
            </w:r>
            <w:r>
              <w:rPr>
                <w:rFonts w:ascii="Calibri" w:hAnsi="Calibri" w:cs="Calibri"/>
                <w:iCs/>
                <w:lang w:val="tr-TR"/>
              </w:rPr>
              <w:t>ı</w:t>
            </w:r>
            <w:r>
              <w:rPr>
                <w:iCs/>
                <w:lang w:val="tr-TR"/>
              </w:rPr>
              <w:t>n tutuklama gerekçesi yap</w:t>
            </w:r>
            <w:r>
              <w:rPr>
                <w:rFonts w:cstheme="minorHAnsi"/>
                <w:iCs/>
                <w:lang w:val="tr-TR"/>
              </w:rPr>
              <w:t>ı</w:t>
            </w:r>
            <w:r>
              <w:rPr>
                <w:iCs/>
                <w:lang w:val="tr-TR"/>
              </w:rPr>
              <w:t xml:space="preserve">labilmesi için </w:t>
            </w:r>
            <w:r w:rsidRPr="00C730E2">
              <w:rPr>
                <w:iCs/>
                <w:lang w:val="tr-TR"/>
              </w:rPr>
              <w:t xml:space="preserve">ilgili yasalarda bu gerekçeye yer verilmiş olması ve sanığın salıverilmesinin kamu düzenini bozacağına dair kanıt olması </w:t>
            </w:r>
            <w:r>
              <w:rPr>
                <w:iCs/>
                <w:lang w:val="tr-TR"/>
              </w:rPr>
              <w:t>gerekmektedir</w:t>
            </w:r>
            <w:r w:rsidRPr="00C730E2">
              <w:rPr>
                <w:iCs/>
                <w:lang w:val="tr-TR"/>
              </w:rPr>
              <w:t xml:space="preserve"> (</w:t>
            </w:r>
            <w:r w:rsidRPr="00C730E2">
              <w:rPr>
                <w:i/>
                <w:iCs/>
                <w:lang w:val="tr-TR"/>
              </w:rPr>
              <w:t>Letellier/Fransa</w:t>
            </w:r>
            <w:r w:rsidRPr="00C730E2">
              <w:rPr>
                <w:iCs/>
                <w:lang w:val="tr-TR"/>
              </w:rPr>
              <w:t>, 26 Haziran 1991, § 51, Seri A no. 207).</w:t>
            </w:r>
            <w:r>
              <w:rPr>
                <w:iCs/>
                <w:lang w:val="tr-TR"/>
              </w:rPr>
              <w:t xml:space="preserve"> Yani kanunda öngörülmeyen bir gerekçeye dayanarak bir ki</w:t>
            </w:r>
            <w:r>
              <w:rPr>
                <w:rFonts w:cstheme="minorHAnsi"/>
                <w:iCs/>
                <w:lang w:val="tr-TR"/>
              </w:rPr>
              <w:t>ş</w:t>
            </w:r>
            <w:r>
              <w:rPr>
                <w:iCs/>
                <w:lang w:val="tr-TR"/>
              </w:rPr>
              <w:t>i hakk</w:t>
            </w:r>
            <w:r>
              <w:rPr>
                <w:rFonts w:ascii="Calibri" w:hAnsi="Calibri" w:cs="Calibri"/>
                <w:iCs/>
                <w:lang w:val="tr-TR"/>
              </w:rPr>
              <w:t>ı</w:t>
            </w:r>
            <w:r>
              <w:rPr>
                <w:iCs/>
                <w:lang w:val="tr-TR"/>
              </w:rPr>
              <w:t>nda tutuklama karar</w:t>
            </w:r>
            <w:r>
              <w:rPr>
                <w:rFonts w:cstheme="minorHAnsi"/>
                <w:iCs/>
                <w:lang w:val="tr-TR"/>
              </w:rPr>
              <w:t>ı</w:t>
            </w:r>
            <w:r>
              <w:rPr>
                <w:iCs/>
                <w:lang w:val="tr-TR"/>
              </w:rPr>
              <w:t xml:space="preserve"> vermek Sözle</w:t>
            </w:r>
            <w:r>
              <w:rPr>
                <w:rFonts w:ascii="Calibri" w:hAnsi="Calibri" w:cs="Calibri"/>
                <w:iCs/>
                <w:lang w:val="tr-TR"/>
              </w:rPr>
              <w:t>ş</w:t>
            </w:r>
            <w:r>
              <w:rPr>
                <w:iCs/>
                <w:lang w:val="tr-TR"/>
              </w:rPr>
              <w:t>me aç</w:t>
            </w:r>
            <w:r>
              <w:rPr>
                <w:rFonts w:cstheme="minorHAnsi"/>
                <w:iCs/>
                <w:lang w:val="tr-TR"/>
              </w:rPr>
              <w:t>ı</w:t>
            </w:r>
            <w:r>
              <w:rPr>
                <w:iCs/>
                <w:lang w:val="tr-TR"/>
              </w:rPr>
              <w:t>s</w:t>
            </w:r>
            <w:r>
              <w:rPr>
                <w:rFonts w:ascii="Calibri" w:hAnsi="Calibri" w:cs="Calibri"/>
                <w:iCs/>
                <w:lang w:val="tr-TR"/>
              </w:rPr>
              <w:t>ı</w:t>
            </w:r>
            <w:r>
              <w:rPr>
                <w:iCs/>
                <w:lang w:val="tr-TR"/>
              </w:rPr>
              <w:t>ndan problem yaratabilecektir.</w:t>
            </w:r>
          </w:p>
        </w:tc>
      </w:tr>
      <w:tr w:rsidR="004655A8" w:rsidRPr="005E7FE2" w14:paraId="79206D63" w14:textId="77777777" w:rsidTr="006405A5">
        <w:tc>
          <w:tcPr>
            <w:tcW w:w="4531" w:type="dxa"/>
          </w:tcPr>
          <w:p w14:paraId="3721E784" w14:textId="35AB6A34" w:rsidR="004655A8" w:rsidRPr="004655A8" w:rsidRDefault="004655A8" w:rsidP="004655A8">
            <w:pPr>
              <w:spacing w:after="160" w:line="259" w:lineRule="auto"/>
              <w:rPr>
                <w:lang w:val="tr-TR"/>
              </w:rPr>
            </w:pPr>
            <w:r w:rsidRPr="004655A8">
              <w:rPr>
                <w:lang w:val="tr-TR"/>
              </w:rPr>
              <w:t xml:space="preserve">Terör suçlarında özellikle tutukluluk için hangi durumları esas alabiliriz? Özellikle yabancı uyruklu sanıklarda tanıklara ulaşamıyoruz istihbari bilgi de olmayabiliyor. Mevcut bir ikrarı da tek başına esas alamıyoruz. Burada kamu güvenliği durumunu veya sanığın tekrar suç işleme olasılığını ayrıca ön plana çıkaracak bir değerlendirme yapabilir miyiz? Aydın </w:t>
            </w:r>
            <w:r w:rsidR="005E7FE2">
              <w:rPr>
                <w:lang w:val="tr-TR"/>
              </w:rPr>
              <w:t>B</w:t>
            </w:r>
            <w:r w:rsidRPr="004655A8">
              <w:rPr>
                <w:lang w:val="tr-TR"/>
              </w:rPr>
              <w:t xml:space="preserve">ey ve Levent </w:t>
            </w:r>
            <w:r w:rsidR="005E7FE2">
              <w:rPr>
                <w:lang w:val="tr-TR"/>
              </w:rPr>
              <w:t>B</w:t>
            </w:r>
            <w:r w:rsidRPr="004655A8">
              <w:rPr>
                <w:lang w:val="tr-TR"/>
              </w:rPr>
              <w:t>eye sorabilir miyiz?</w:t>
            </w:r>
          </w:p>
        </w:tc>
        <w:tc>
          <w:tcPr>
            <w:tcW w:w="4531" w:type="dxa"/>
          </w:tcPr>
          <w:p w14:paraId="2ABB93C3" w14:textId="3DFD879A" w:rsidR="004655A8" w:rsidRPr="00DA217C" w:rsidRDefault="00C730E2" w:rsidP="00934CDD">
            <w:pPr>
              <w:spacing w:after="160" w:line="259" w:lineRule="auto"/>
              <w:jc w:val="both"/>
              <w:rPr>
                <w:rFonts w:cstheme="minorHAnsi"/>
                <w:lang w:val="tr-TR"/>
              </w:rPr>
            </w:pPr>
            <w:r w:rsidRPr="00DA217C">
              <w:rPr>
                <w:rFonts w:cstheme="minorHAnsi"/>
                <w:lang w:val="tr-TR"/>
              </w:rPr>
              <w:t xml:space="preserve">Yerleşik AİHM içtihatlarına göre terörle mücadele gibi çok önemli bir konu söz konusu olduğunda dahi </w:t>
            </w:r>
            <w:r w:rsidR="00DA217C" w:rsidRPr="00DA217C">
              <w:rPr>
                <w:rFonts w:cstheme="minorHAnsi"/>
                <w:lang w:val="tr-TR"/>
              </w:rPr>
              <w:t xml:space="preserve">Sözleşme </w:t>
            </w:r>
            <w:r w:rsidRPr="00DA217C">
              <w:rPr>
                <w:rFonts w:cstheme="minorHAnsi"/>
                <w:lang w:val="tr-TR"/>
              </w:rPr>
              <w:t>devletlere serbestçe hareket etme hakkı tanımamaktadır. Mahkeme’ye göre, terör suçuyla mücadele, “makullük” kavramının Sözleşme’nin 5 § 1 c) maddesinde korunan güvencelerin zarar göreceği bir noktaya kadar genişl</w:t>
            </w:r>
            <w:r w:rsidR="00DA217C" w:rsidRPr="00DA217C">
              <w:rPr>
                <w:rFonts w:cstheme="minorHAnsi"/>
                <w:lang w:val="tr-TR"/>
              </w:rPr>
              <w:t>etilmesini haklı kılmamaktadır (</w:t>
            </w:r>
            <w:r w:rsidR="00DA217C" w:rsidRPr="00DA217C">
              <w:rPr>
                <w:rFonts w:cstheme="minorHAnsi"/>
                <w:i/>
                <w:lang w:val="tr-TR"/>
              </w:rPr>
              <w:t>Labita/İtalya</w:t>
            </w:r>
            <w:r w:rsidR="00DA217C" w:rsidRPr="00DA217C">
              <w:rPr>
                <w:rFonts w:cstheme="minorHAnsi"/>
                <w:lang w:val="tr-TR"/>
              </w:rPr>
              <w:t xml:space="preserve"> [BD], n</w:t>
            </w:r>
            <w:r w:rsidR="00DA217C" w:rsidRPr="00DA217C">
              <w:rPr>
                <w:rFonts w:cstheme="minorHAnsi"/>
                <w:vertAlign w:val="superscript"/>
                <w:lang w:val="tr-TR"/>
              </w:rPr>
              <w:t>o</w:t>
            </w:r>
            <w:r w:rsidR="00DA217C" w:rsidRPr="00DA217C">
              <w:rPr>
                <w:rFonts w:cstheme="minorHAnsi"/>
                <w:lang w:val="tr-TR"/>
              </w:rPr>
              <w:t xml:space="preserve"> 26772/95, AİHM 2000-IV). Fakat makul şüphenin olduğunu varsayabildiğimiz durumlarda tutuklama gerekçelerinin incelenmesinde, örneğin sanığın yabancı uyruklu olması, Türkiye’de aile, adres vs olmaması kaçma şüphesi açısından karine oluşturabilir. Gene kural olarak kişinin mahkemede hazır bulunmasını sağlayacak tutuklamaya göre daha az sertlikte alternatif bir önlemin uygulanabilir olup olmadığının mutlaka değerlendirilmesi gerekir.</w:t>
            </w:r>
          </w:p>
        </w:tc>
      </w:tr>
      <w:tr w:rsidR="004655A8" w:rsidRPr="005E7FE2" w14:paraId="686BEA8F" w14:textId="77777777" w:rsidTr="006405A5">
        <w:tc>
          <w:tcPr>
            <w:tcW w:w="4531" w:type="dxa"/>
          </w:tcPr>
          <w:p w14:paraId="6C116F17" w14:textId="57218349" w:rsidR="004655A8" w:rsidRPr="004655A8" w:rsidRDefault="00007944" w:rsidP="004655A8">
            <w:pPr>
              <w:spacing w:after="160" w:line="259" w:lineRule="auto"/>
              <w:rPr>
                <w:lang w:val="tr-TR"/>
              </w:rPr>
            </w:pPr>
            <w:r>
              <w:rPr>
                <w:lang w:val="tr-TR"/>
              </w:rPr>
              <w:t>M</w:t>
            </w:r>
            <w:r w:rsidR="004655A8" w:rsidRPr="004655A8">
              <w:rPr>
                <w:lang w:val="tr-TR"/>
              </w:rPr>
              <w:t>erhabalar, soruşturma ve ilk derece mahkemesi aşamasında serbest olan ve beraat eden şahsın istinaf aşamasında yeni ele geçen deliller ile mahkumiyetine karar verilerek hükmen tutuklanmasının koşullarını değerlendirebilir</w:t>
            </w:r>
            <w:r w:rsidR="004655A8" w:rsidRPr="005E7FE2">
              <w:rPr>
                <w:lang w:val="tr-TR"/>
              </w:rPr>
              <w:t xml:space="preserve"> </w:t>
            </w:r>
            <w:r w:rsidR="004655A8" w:rsidRPr="004655A8">
              <w:rPr>
                <w:lang w:val="tr-TR"/>
              </w:rPr>
              <w:t>misiniz lütfen , teşekkür ediyorum</w:t>
            </w:r>
            <w:r>
              <w:rPr>
                <w:lang w:val="tr-TR"/>
              </w:rPr>
              <w:t>.</w:t>
            </w:r>
            <w:bookmarkStart w:id="0" w:name="_GoBack"/>
            <w:bookmarkEnd w:id="0"/>
          </w:p>
        </w:tc>
        <w:tc>
          <w:tcPr>
            <w:tcW w:w="4531" w:type="dxa"/>
          </w:tcPr>
          <w:p w14:paraId="73DFB692" w14:textId="7C0F4414" w:rsidR="004655A8" w:rsidRPr="00DA217C" w:rsidRDefault="00DA217C" w:rsidP="00934CDD">
            <w:pPr>
              <w:spacing w:after="160" w:line="259" w:lineRule="auto"/>
              <w:jc w:val="both"/>
              <w:rPr>
                <w:lang w:val="tr-TR"/>
              </w:rPr>
            </w:pPr>
            <w:r w:rsidRPr="00DA217C">
              <w:rPr>
                <w:lang w:val="tr-TR"/>
              </w:rPr>
              <w:t xml:space="preserve">Burada yeni ele geçen delilin makul suç </w:t>
            </w:r>
            <w:r w:rsidRPr="00DA217C">
              <w:rPr>
                <w:rFonts w:cstheme="minorHAnsi"/>
                <w:lang w:val="tr-TR"/>
              </w:rPr>
              <w:t>ş</w:t>
            </w:r>
            <w:r w:rsidRPr="00DA217C">
              <w:rPr>
                <w:lang w:val="tr-TR"/>
              </w:rPr>
              <w:t>üphesi olu</w:t>
            </w:r>
            <w:r w:rsidRPr="00DA217C">
              <w:rPr>
                <w:rFonts w:ascii="Calibri" w:hAnsi="Calibri" w:cs="Calibri"/>
                <w:lang w:val="tr-TR"/>
              </w:rPr>
              <w:t>ş</w:t>
            </w:r>
            <w:r w:rsidRPr="00DA217C">
              <w:rPr>
                <w:lang w:val="tr-TR"/>
              </w:rPr>
              <w:t>turup olu</w:t>
            </w:r>
            <w:r>
              <w:rPr>
                <w:rFonts w:cstheme="minorHAnsi"/>
                <w:lang w:val="tr-TR"/>
              </w:rPr>
              <w:t>ş</w:t>
            </w:r>
            <w:r>
              <w:rPr>
                <w:lang w:val="tr-TR"/>
              </w:rPr>
              <w:t>turmad</w:t>
            </w:r>
            <w:r>
              <w:rPr>
                <w:rFonts w:ascii="Calibri" w:hAnsi="Calibri" w:cs="Calibri"/>
                <w:lang w:val="tr-TR"/>
              </w:rPr>
              <w:t>ı</w:t>
            </w:r>
            <w:r>
              <w:rPr>
                <w:rFonts w:cstheme="minorHAnsi"/>
                <w:lang w:val="tr-TR"/>
              </w:rPr>
              <w:t>ğ</w:t>
            </w:r>
            <w:r>
              <w:rPr>
                <w:rFonts w:ascii="Calibri" w:hAnsi="Calibri" w:cs="Calibri"/>
                <w:lang w:val="tr-TR"/>
              </w:rPr>
              <w:t>ı</w:t>
            </w:r>
            <w:r>
              <w:rPr>
                <w:lang w:val="tr-TR"/>
              </w:rPr>
              <w:t xml:space="preserve"> de</w:t>
            </w:r>
            <w:r>
              <w:rPr>
                <w:rFonts w:cstheme="minorHAnsi"/>
                <w:lang w:val="tr-TR"/>
              </w:rPr>
              <w:t>ğ</w:t>
            </w:r>
            <w:r>
              <w:rPr>
                <w:lang w:val="tr-TR"/>
              </w:rPr>
              <w:t xml:space="preserve">erlendirilmeli. </w:t>
            </w:r>
            <w:r>
              <w:rPr>
                <w:rFonts w:ascii="Calibri" w:hAnsi="Calibri" w:cs="Calibri"/>
                <w:lang w:val="tr-TR"/>
              </w:rPr>
              <w:t>Ş</w:t>
            </w:r>
            <w:r>
              <w:rPr>
                <w:lang w:val="tr-TR"/>
              </w:rPr>
              <w:t xml:space="preserve">ayet makul suç </w:t>
            </w:r>
            <w:r>
              <w:rPr>
                <w:rFonts w:cstheme="minorHAnsi"/>
                <w:lang w:val="tr-TR"/>
              </w:rPr>
              <w:t>ş</w:t>
            </w:r>
            <w:r>
              <w:rPr>
                <w:lang w:val="tr-TR"/>
              </w:rPr>
              <w:t>üphesinin varl</w:t>
            </w:r>
            <w:r>
              <w:rPr>
                <w:rFonts w:ascii="Calibri" w:hAnsi="Calibri" w:cs="Calibri"/>
                <w:lang w:val="tr-TR"/>
              </w:rPr>
              <w:t>ı</w:t>
            </w:r>
            <w:r>
              <w:rPr>
                <w:rFonts w:cstheme="minorHAnsi"/>
                <w:lang w:val="tr-TR"/>
              </w:rPr>
              <w:t>ğ</w:t>
            </w:r>
            <w:r>
              <w:rPr>
                <w:rFonts w:ascii="Calibri" w:hAnsi="Calibri" w:cs="Calibri"/>
                <w:lang w:val="tr-TR"/>
              </w:rPr>
              <w:t>ı</w:t>
            </w:r>
            <w:r>
              <w:rPr>
                <w:lang w:val="tr-TR"/>
              </w:rPr>
              <w:t>n</w:t>
            </w:r>
            <w:r>
              <w:rPr>
                <w:rFonts w:cstheme="minorHAnsi"/>
                <w:lang w:val="tr-TR"/>
              </w:rPr>
              <w:t>ı</w:t>
            </w:r>
            <w:r>
              <w:rPr>
                <w:lang w:val="tr-TR"/>
              </w:rPr>
              <w:t xml:space="preserve"> gösterir deliller varsa ikinci olarak tutuklama gerekçelerinin varl</w:t>
            </w:r>
            <w:r>
              <w:rPr>
                <w:rFonts w:ascii="Calibri" w:hAnsi="Calibri" w:cs="Calibri"/>
                <w:lang w:val="tr-TR"/>
              </w:rPr>
              <w:t>ı</w:t>
            </w:r>
            <w:r>
              <w:rPr>
                <w:rFonts w:cstheme="minorHAnsi"/>
                <w:lang w:val="tr-TR"/>
              </w:rPr>
              <w:t>ğ</w:t>
            </w:r>
            <w:r>
              <w:rPr>
                <w:rFonts w:ascii="Calibri" w:hAnsi="Calibri" w:cs="Calibri"/>
                <w:lang w:val="tr-TR"/>
              </w:rPr>
              <w:t>ı</w:t>
            </w:r>
            <w:r>
              <w:rPr>
                <w:lang w:val="tr-TR"/>
              </w:rPr>
              <w:t xml:space="preserve"> ayr</w:t>
            </w:r>
            <w:r>
              <w:rPr>
                <w:rFonts w:cstheme="minorHAnsi"/>
                <w:lang w:val="tr-TR"/>
              </w:rPr>
              <w:t>ı</w:t>
            </w:r>
            <w:r>
              <w:rPr>
                <w:lang w:val="tr-TR"/>
              </w:rPr>
              <w:t>ca de</w:t>
            </w:r>
            <w:r>
              <w:rPr>
                <w:rFonts w:ascii="Calibri" w:hAnsi="Calibri" w:cs="Calibri"/>
                <w:lang w:val="tr-TR"/>
              </w:rPr>
              <w:t>ğ</w:t>
            </w:r>
            <w:r>
              <w:rPr>
                <w:lang w:val="tr-TR"/>
              </w:rPr>
              <w:t>erlendirilmelidir. Burada potansiyel cezan</w:t>
            </w:r>
            <w:r>
              <w:rPr>
                <w:rFonts w:cstheme="minorHAnsi"/>
                <w:lang w:val="tr-TR"/>
              </w:rPr>
              <w:t>ı</w:t>
            </w:r>
            <w:r>
              <w:rPr>
                <w:lang w:val="tr-TR"/>
              </w:rPr>
              <w:t>n a</w:t>
            </w:r>
            <w:r>
              <w:rPr>
                <w:rFonts w:ascii="Calibri" w:hAnsi="Calibri" w:cs="Calibri"/>
                <w:lang w:val="tr-TR"/>
              </w:rPr>
              <w:t>ğ</w:t>
            </w:r>
            <w:r>
              <w:rPr>
                <w:rFonts w:cstheme="minorHAnsi"/>
                <w:lang w:val="tr-TR"/>
              </w:rPr>
              <w:t>ı</w:t>
            </w:r>
            <w:r>
              <w:rPr>
                <w:lang w:val="tr-TR"/>
              </w:rPr>
              <w:t>rl</w:t>
            </w:r>
            <w:r>
              <w:rPr>
                <w:rFonts w:ascii="Calibri" w:hAnsi="Calibri" w:cs="Calibri"/>
                <w:lang w:val="tr-TR"/>
              </w:rPr>
              <w:t>ı</w:t>
            </w:r>
            <w:r>
              <w:rPr>
                <w:rFonts w:cstheme="minorHAnsi"/>
                <w:lang w:val="tr-TR"/>
              </w:rPr>
              <w:t>ğ</w:t>
            </w:r>
            <w:r>
              <w:rPr>
                <w:rFonts w:ascii="Calibri" w:hAnsi="Calibri" w:cs="Calibri"/>
                <w:lang w:val="tr-TR"/>
              </w:rPr>
              <w:t>ı</w:t>
            </w:r>
            <w:r>
              <w:rPr>
                <w:lang w:val="tr-TR"/>
              </w:rPr>
              <w:t>n</w:t>
            </w:r>
            <w:r>
              <w:rPr>
                <w:rFonts w:cstheme="minorHAnsi"/>
                <w:lang w:val="tr-TR"/>
              </w:rPr>
              <w:t>ı</w:t>
            </w:r>
            <w:r>
              <w:rPr>
                <w:lang w:val="tr-TR"/>
              </w:rPr>
              <w:t>n önemsiz oldu</w:t>
            </w:r>
            <w:r>
              <w:rPr>
                <w:rFonts w:ascii="Calibri" w:hAnsi="Calibri" w:cs="Calibri"/>
                <w:lang w:val="tr-TR"/>
              </w:rPr>
              <w:t>ğ</w:t>
            </w:r>
            <w:r>
              <w:rPr>
                <w:lang w:val="tr-TR"/>
              </w:rPr>
              <w:t>unu belirtmekte fayda var (</w:t>
            </w:r>
            <w:r w:rsidR="009B128D" w:rsidRPr="009B128D">
              <w:rPr>
                <w:i/>
                <w:lang w:val="tr-TR"/>
              </w:rPr>
              <w:t>Morganti/Fransa</w:t>
            </w:r>
            <w:r w:rsidR="009B128D" w:rsidRPr="009B128D">
              <w:rPr>
                <w:lang w:val="tr-TR"/>
              </w:rPr>
              <w:t>, 13 Temmuz 1995, § 62, Seri A no 320-C</w:t>
            </w:r>
            <w:r w:rsidR="009B128D">
              <w:rPr>
                <w:lang w:val="tr-TR"/>
              </w:rPr>
              <w:t>). Tutuklama karar</w:t>
            </w:r>
            <w:r w:rsidR="009B128D">
              <w:rPr>
                <w:rFonts w:cstheme="minorHAnsi"/>
                <w:lang w:val="tr-TR"/>
              </w:rPr>
              <w:t>ı</w:t>
            </w:r>
            <w:r w:rsidR="009B128D">
              <w:rPr>
                <w:lang w:val="tr-TR"/>
              </w:rPr>
              <w:t>n</w:t>
            </w:r>
            <w:r w:rsidR="009B128D">
              <w:rPr>
                <w:rFonts w:ascii="Calibri" w:hAnsi="Calibri" w:cs="Calibri"/>
                <w:lang w:val="tr-TR"/>
              </w:rPr>
              <w:t>ı</w:t>
            </w:r>
            <w:r w:rsidR="009B128D">
              <w:rPr>
                <w:lang w:val="tr-TR"/>
              </w:rPr>
              <w:t>n Sözle</w:t>
            </w:r>
            <w:r w:rsidR="009B128D">
              <w:rPr>
                <w:rFonts w:cstheme="minorHAnsi"/>
                <w:lang w:val="tr-TR"/>
              </w:rPr>
              <w:t>ş</w:t>
            </w:r>
            <w:r w:rsidR="009B128D">
              <w:rPr>
                <w:lang w:val="tr-TR"/>
              </w:rPr>
              <w:t xml:space="preserve">me’nin 5 § 3 maddesine uygun olabilmesi için makul </w:t>
            </w:r>
            <w:r w:rsidR="009B128D">
              <w:rPr>
                <w:rFonts w:cstheme="minorHAnsi"/>
                <w:lang w:val="tr-TR"/>
              </w:rPr>
              <w:t>ş</w:t>
            </w:r>
            <w:r w:rsidR="009B128D">
              <w:rPr>
                <w:lang w:val="tr-TR"/>
              </w:rPr>
              <w:t>üphenin (burada sonradan ortaya ç</w:t>
            </w:r>
            <w:r w:rsidR="009B128D">
              <w:rPr>
                <w:rFonts w:ascii="Calibri" w:hAnsi="Calibri" w:cs="Calibri"/>
                <w:lang w:val="tr-TR"/>
              </w:rPr>
              <w:t>ı</w:t>
            </w:r>
            <w:r w:rsidR="009B128D">
              <w:rPr>
                <w:lang w:val="tr-TR"/>
              </w:rPr>
              <w:t>kan delil) yan</w:t>
            </w:r>
            <w:r w:rsidR="009B128D">
              <w:rPr>
                <w:rFonts w:cstheme="minorHAnsi"/>
                <w:lang w:val="tr-TR"/>
              </w:rPr>
              <w:t>ı</w:t>
            </w:r>
            <w:r w:rsidR="009B128D">
              <w:rPr>
                <w:lang w:val="tr-TR"/>
              </w:rPr>
              <w:t>nda ayr</w:t>
            </w:r>
            <w:r w:rsidR="009B128D">
              <w:rPr>
                <w:rFonts w:ascii="Calibri" w:hAnsi="Calibri" w:cs="Calibri"/>
                <w:lang w:val="tr-TR"/>
              </w:rPr>
              <w:t>ı</w:t>
            </w:r>
            <w:r w:rsidR="009B128D">
              <w:rPr>
                <w:lang w:val="tr-TR"/>
              </w:rPr>
              <w:t xml:space="preserve">ca </w:t>
            </w:r>
            <w:r w:rsidR="009B128D">
              <w:rPr>
                <w:lang w:val="tr-TR"/>
              </w:rPr>
              <w:lastRenderedPageBreak/>
              <w:t>tutuklamay</w:t>
            </w:r>
            <w:r w:rsidR="009B128D">
              <w:rPr>
                <w:rFonts w:cstheme="minorHAnsi"/>
                <w:lang w:val="tr-TR"/>
              </w:rPr>
              <w:t>ı</w:t>
            </w:r>
            <w:r w:rsidR="009B128D">
              <w:rPr>
                <w:lang w:val="tr-TR"/>
              </w:rPr>
              <w:t xml:space="preserve"> hakl</w:t>
            </w:r>
            <w:r w:rsidR="009B128D">
              <w:rPr>
                <w:rFonts w:ascii="Calibri" w:hAnsi="Calibri" w:cs="Calibri"/>
                <w:lang w:val="tr-TR"/>
              </w:rPr>
              <w:t>ı</w:t>
            </w:r>
            <w:r w:rsidR="009B128D">
              <w:rPr>
                <w:lang w:val="tr-TR"/>
              </w:rPr>
              <w:t xml:space="preserve"> k</w:t>
            </w:r>
            <w:r w:rsidR="009B128D">
              <w:rPr>
                <w:rFonts w:cstheme="minorHAnsi"/>
                <w:lang w:val="tr-TR"/>
              </w:rPr>
              <w:t>ı</w:t>
            </w:r>
            <w:r w:rsidR="009B128D">
              <w:rPr>
                <w:lang w:val="tr-TR"/>
              </w:rPr>
              <w:t>lacak sebeplerin varl</w:t>
            </w:r>
            <w:r w:rsidR="009B128D">
              <w:rPr>
                <w:rFonts w:ascii="Calibri" w:hAnsi="Calibri" w:cs="Calibri"/>
                <w:lang w:val="tr-TR"/>
              </w:rPr>
              <w:t>ı</w:t>
            </w:r>
            <w:r w:rsidR="009B128D">
              <w:rPr>
                <w:rFonts w:cstheme="minorHAnsi"/>
                <w:lang w:val="tr-TR"/>
              </w:rPr>
              <w:t>ğ</w:t>
            </w:r>
            <w:r w:rsidR="009B128D">
              <w:rPr>
                <w:rFonts w:ascii="Calibri" w:hAnsi="Calibri" w:cs="Calibri"/>
                <w:lang w:val="tr-TR"/>
              </w:rPr>
              <w:t>ı</w:t>
            </w:r>
            <w:r w:rsidR="009B128D">
              <w:rPr>
                <w:lang w:val="tr-TR"/>
              </w:rPr>
              <w:t xml:space="preserve"> da tart</w:t>
            </w:r>
            <w:r w:rsidR="009B128D">
              <w:rPr>
                <w:rFonts w:cstheme="minorHAnsi"/>
                <w:lang w:val="tr-TR"/>
              </w:rPr>
              <w:t>ı</w:t>
            </w:r>
            <w:r w:rsidR="009B128D">
              <w:rPr>
                <w:rFonts w:ascii="Calibri" w:hAnsi="Calibri" w:cs="Calibri"/>
                <w:lang w:val="tr-TR"/>
              </w:rPr>
              <w:t>ş</w:t>
            </w:r>
            <w:r w:rsidR="009B128D">
              <w:rPr>
                <w:rFonts w:cstheme="minorHAnsi"/>
                <w:lang w:val="tr-TR"/>
              </w:rPr>
              <w:t>ı</w:t>
            </w:r>
            <w:r w:rsidR="009B128D">
              <w:rPr>
                <w:lang w:val="tr-TR"/>
              </w:rPr>
              <w:t>lmal</w:t>
            </w:r>
            <w:r w:rsidR="009B128D">
              <w:rPr>
                <w:rFonts w:ascii="Calibri" w:hAnsi="Calibri" w:cs="Calibri"/>
                <w:lang w:val="tr-TR"/>
              </w:rPr>
              <w:t>ı</w:t>
            </w:r>
            <w:r w:rsidR="009B128D">
              <w:rPr>
                <w:lang w:val="tr-TR"/>
              </w:rPr>
              <w:t xml:space="preserve"> ve karar yans</w:t>
            </w:r>
            <w:r w:rsidR="009B128D">
              <w:rPr>
                <w:rFonts w:cstheme="minorHAnsi"/>
                <w:lang w:val="tr-TR"/>
              </w:rPr>
              <w:t>ı</w:t>
            </w:r>
            <w:r w:rsidR="009B128D">
              <w:rPr>
                <w:lang w:val="tr-TR"/>
              </w:rPr>
              <w:t>t</w:t>
            </w:r>
            <w:r w:rsidR="009B128D">
              <w:rPr>
                <w:rFonts w:ascii="Calibri" w:hAnsi="Calibri" w:cs="Calibri"/>
                <w:lang w:val="tr-TR"/>
              </w:rPr>
              <w:t>ı</w:t>
            </w:r>
            <w:r w:rsidR="009B128D">
              <w:rPr>
                <w:lang w:val="tr-TR"/>
              </w:rPr>
              <w:t>lmal</w:t>
            </w:r>
            <w:r w:rsidR="009B128D">
              <w:rPr>
                <w:rFonts w:cstheme="minorHAnsi"/>
                <w:lang w:val="tr-TR"/>
              </w:rPr>
              <w:t>ı</w:t>
            </w:r>
            <w:r w:rsidR="009B128D">
              <w:rPr>
                <w:lang w:val="tr-TR"/>
              </w:rPr>
              <w:t xml:space="preserve"> (</w:t>
            </w:r>
            <w:r w:rsidR="009B128D" w:rsidRPr="009B128D">
              <w:rPr>
                <w:i/>
                <w:lang w:val="tr-TR"/>
              </w:rPr>
              <w:t>Buzadji/Moldova</w:t>
            </w:r>
            <w:r w:rsidR="009B128D" w:rsidRPr="009B128D">
              <w:rPr>
                <w:lang w:val="tr-TR"/>
              </w:rPr>
              <w:t xml:space="preserve"> [BD], no 23755/07, § 102, 5 Temmuz 2016</w:t>
            </w:r>
            <w:r w:rsidR="009B128D">
              <w:rPr>
                <w:lang w:val="tr-TR"/>
              </w:rPr>
              <w:t>)</w:t>
            </w:r>
          </w:p>
        </w:tc>
      </w:tr>
      <w:tr w:rsidR="004655A8" w:rsidRPr="005E7FE2" w14:paraId="67CB99BC" w14:textId="77777777" w:rsidTr="006405A5">
        <w:tc>
          <w:tcPr>
            <w:tcW w:w="4531" w:type="dxa"/>
          </w:tcPr>
          <w:p w14:paraId="0F1262F8" w14:textId="77777777" w:rsidR="004655A8" w:rsidRPr="004655A8" w:rsidRDefault="004655A8" w:rsidP="004655A8">
            <w:pPr>
              <w:spacing w:after="160" w:line="259" w:lineRule="auto"/>
              <w:rPr>
                <w:lang w:val="tr-TR"/>
              </w:rPr>
            </w:pPr>
            <w:r w:rsidRPr="004655A8">
              <w:rPr>
                <w:lang w:val="tr-TR"/>
              </w:rPr>
              <w:lastRenderedPageBreak/>
              <w:t>Malvarlığına karşı suçlarda, suç değeri düşük olsa dahi; şüphelinin mütemadiyen farklı kişilere karşı aynı türde suçları işlemesi durumunda toplumu oluşacak zararlara karşı korumak adına tutuklama kararı vermek ne kadar doğru olur?</w:t>
            </w:r>
          </w:p>
        </w:tc>
        <w:tc>
          <w:tcPr>
            <w:tcW w:w="4531" w:type="dxa"/>
          </w:tcPr>
          <w:p w14:paraId="4F6B709A" w14:textId="17117233" w:rsidR="004655A8" w:rsidRPr="009B128D" w:rsidRDefault="009B128D" w:rsidP="00934CDD">
            <w:pPr>
              <w:spacing w:after="160" w:line="259" w:lineRule="auto"/>
              <w:jc w:val="both"/>
              <w:rPr>
                <w:lang w:val="tr-TR"/>
              </w:rPr>
            </w:pPr>
            <w:r w:rsidRPr="009B128D">
              <w:rPr>
                <w:lang w:val="tr-TR"/>
              </w:rPr>
              <w:t>Burada suç i</w:t>
            </w:r>
            <w:r w:rsidRPr="009B128D">
              <w:rPr>
                <w:rFonts w:ascii="Calibri" w:hAnsi="Calibri" w:cs="Calibri"/>
                <w:lang w:val="tr-TR"/>
              </w:rPr>
              <w:t>ş</w:t>
            </w:r>
            <w:r w:rsidRPr="009B128D">
              <w:rPr>
                <w:lang w:val="tr-TR"/>
              </w:rPr>
              <w:t>lenmesinin önlenmesi durumu söz konusu olabilir.</w:t>
            </w:r>
            <w:r>
              <w:rPr>
                <w:lang w:val="tr-TR"/>
              </w:rPr>
              <w:t xml:space="preserve"> S</w:t>
            </w:r>
            <w:r w:rsidRPr="009B128D">
              <w:rPr>
                <w:lang w:val="tr-TR"/>
              </w:rPr>
              <w:t xml:space="preserve">anığın serbest bırakılması durumunda, hâlihazırda suçlandığı türden bir suç veya başka bir suç işleyeceğine dair yeterli gerekçe </w:t>
            </w:r>
            <w:r>
              <w:rPr>
                <w:lang w:val="tr-TR"/>
              </w:rPr>
              <w:t>bulunuyorsa tutuklama madde 5 § 3’e uygun olabilir. S</w:t>
            </w:r>
            <w:r w:rsidRPr="009B128D">
              <w:rPr>
                <w:lang w:val="tr-TR"/>
              </w:rPr>
              <w:t>uçun önlenmesindeki kamu yararı, sanığın tutukluluğuna inanmak için geçerli nedenlerin olduğu durumlarda</w:t>
            </w:r>
            <w:r>
              <w:rPr>
                <w:lang w:val="tr-TR"/>
              </w:rPr>
              <w:t>,</w:t>
            </w:r>
            <w:r w:rsidRPr="009B128D">
              <w:rPr>
                <w:lang w:val="tr-TR"/>
              </w:rPr>
              <w:t xml:space="preserve"> tutuklamayı haklı kılabilir.</w:t>
            </w:r>
          </w:p>
        </w:tc>
      </w:tr>
      <w:tr w:rsidR="004655A8" w:rsidRPr="005E7FE2" w14:paraId="36FE6D94" w14:textId="77777777" w:rsidTr="006405A5">
        <w:tc>
          <w:tcPr>
            <w:tcW w:w="4531" w:type="dxa"/>
          </w:tcPr>
          <w:p w14:paraId="08D5C0AE" w14:textId="57E57DCA" w:rsidR="004655A8" w:rsidRPr="004655A8" w:rsidRDefault="004655A8" w:rsidP="004655A8">
            <w:pPr>
              <w:spacing w:after="160" w:line="259" w:lineRule="auto"/>
              <w:rPr>
                <w:lang w:val="tr-TR"/>
              </w:rPr>
            </w:pPr>
            <w:r w:rsidRPr="009B128D">
              <w:rPr>
                <w:lang w:val="tr-TR"/>
              </w:rPr>
              <w:t>Taksirli</w:t>
            </w:r>
            <w:r w:rsidRPr="004655A8">
              <w:rPr>
                <w:lang w:val="tr-TR"/>
              </w:rPr>
              <w:t xml:space="preserve"> suçlarda özellikle bilinçli taksirle işlenen suçlarda kuvvetli şüphe makul şüphe ayrımı </w:t>
            </w:r>
            <w:r w:rsidR="005E7FE2" w:rsidRPr="004655A8">
              <w:rPr>
                <w:lang w:val="tr-TR"/>
              </w:rPr>
              <w:t>AİHM</w:t>
            </w:r>
            <w:r w:rsidRPr="004655A8">
              <w:rPr>
                <w:lang w:val="tr-TR"/>
              </w:rPr>
              <w:t xml:space="preserve"> ve </w:t>
            </w:r>
            <w:r w:rsidR="005E7FE2">
              <w:rPr>
                <w:lang w:val="tr-TR"/>
              </w:rPr>
              <w:t>A</w:t>
            </w:r>
            <w:r w:rsidRPr="004655A8">
              <w:rPr>
                <w:lang w:val="tr-TR"/>
              </w:rPr>
              <w:t xml:space="preserve">nayasa </w:t>
            </w:r>
            <w:r w:rsidR="005E7FE2">
              <w:rPr>
                <w:lang w:val="tr-TR"/>
              </w:rPr>
              <w:t>M</w:t>
            </w:r>
            <w:r w:rsidRPr="004655A8">
              <w:rPr>
                <w:lang w:val="tr-TR"/>
              </w:rPr>
              <w:t>ah</w:t>
            </w:r>
            <w:r w:rsidR="005E7FE2">
              <w:rPr>
                <w:lang w:val="tr-TR"/>
              </w:rPr>
              <w:t>kemesi</w:t>
            </w:r>
            <w:r w:rsidRPr="004655A8">
              <w:rPr>
                <w:lang w:val="tr-TR"/>
              </w:rPr>
              <w:t xml:space="preserve"> nasıl değerlendirilebiliyor</w:t>
            </w:r>
            <w:r w:rsidR="005E7FE2">
              <w:rPr>
                <w:lang w:val="tr-TR"/>
              </w:rPr>
              <w:t>?</w:t>
            </w:r>
          </w:p>
        </w:tc>
        <w:tc>
          <w:tcPr>
            <w:tcW w:w="4531" w:type="dxa"/>
          </w:tcPr>
          <w:p w14:paraId="0B4D7E99" w14:textId="25AC9669" w:rsidR="004655A8" w:rsidRPr="009B128D" w:rsidRDefault="009B128D" w:rsidP="00934CDD">
            <w:pPr>
              <w:spacing w:after="160" w:line="259" w:lineRule="auto"/>
              <w:jc w:val="both"/>
              <w:rPr>
                <w:lang w:val="tr-TR"/>
              </w:rPr>
            </w:pPr>
            <w:r w:rsidRPr="009B128D">
              <w:rPr>
                <w:lang w:val="tr-TR"/>
              </w:rPr>
              <w:t>A</w:t>
            </w:r>
            <w:r w:rsidRPr="009B128D">
              <w:rPr>
                <w:rFonts w:cstheme="minorHAnsi"/>
                <w:lang w:val="tr-TR"/>
              </w:rPr>
              <w:t>İ</w:t>
            </w:r>
            <w:r w:rsidRPr="009B128D">
              <w:rPr>
                <w:lang w:val="tr-TR"/>
              </w:rPr>
              <w:t>HM bu tür bir ayr</w:t>
            </w:r>
            <w:r w:rsidRPr="009B128D">
              <w:rPr>
                <w:rFonts w:ascii="Calibri" w:hAnsi="Calibri" w:cs="Calibri"/>
                <w:lang w:val="tr-TR"/>
              </w:rPr>
              <w:t>ı</w:t>
            </w:r>
            <w:r w:rsidRPr="009B128D">
              <w:rPr>
                <w:lang w:val="tr-TR"/>
              </w:rPr>
              <w:t xml:space="preserve">ma gitmiyor. </w:t>
            </w:r>
            <w:r>
              <w:rPr>
                <w:lang w:val="tr-TR"/>
              </w:rPr>
              <w:t xml:space="preserve">Makul </w:t>
            </w:r>
            <w:r>
              <w:rPr>
                <w:rFonts w:cstheme="minorHAnsi"/>
                <w:lang w:val="tr-TR"/>
              </w:rPr>
              <w:t>ş</w:t>
            </w:r>
            <w:r>
              <w:rPr>
                <w:lang w:val="tr-TR"/>
              </w:rPr>
              <w:t xml:space="preserve">üphe incelemesi yaparken </w:t>
            </w:r>
            <w:r w:rsidRPr="009B128D">
              <w:rPr>
                <w:lang w:val="tr-TR"/>
              </w:rPr>
              <w:t xml:space="preserve">objektif bir gözlemciyi bir kişinin suç işlediğine inandıracak yeterli olgu ve bilgilerin </w:t>
            </w:r>
            <w:r>
              <w:rPr>
                <w:lang w:val="tr-TR"/>
              </w:rPr>
              <w:t>var olup olmad</w:t>
            </w:r>
            <w:r>
              <w:rPr>
                <w:rFonts w:cstheme="minorHAnsi"/>
                <w:lang w:val="tr-TR"/>
              </w:rPr>
              <w:t>ı</w:t>
            </w:r>
            <w:r>
              <w:rPr>
                <w:rFonts w:ascii="Calibri" w:hAnsi="Calibri" w:cs="Calibri"/>
                <w:lang w:val="tr-TR"/>
              </w:rPr>
              <w:t>ğ</w:t>
            </w:r>
            <w:r>
              <w:rPr>
                <w:rFonts w:cstheme="minorHAnsi"/>
                <w:lang w:val="tr-TR"/>
              </w:rPr>
              <w:t>ı</w:t>
            </w:r>
            <w:r>
              <w:rPr>
                <w:lang w:val="tr-TR"/>
              </w:rPr>
              <w:t>na bak</w:t>
            </w:r>
            <w:r>
              <w:rPr>
                <w:rFonts w:ascii="Calibri" w:hAnsi="Calibri" w:cs="Calibri"/>
                <w:lang w:val="tr-TR"/>
              </w:rPr>
              <w:t>ı</w:t>
            </w:r>
            <w:r>
              <w:rPr>
                <w:lang w:val="tr-TR"/>
              </w:rPr>
              <w:t xml:space="preserve">yor. </w:t>
            </w:r>
            <w:r w:rsidR="00934CDD">
              <w:rPr>
                <w:lang w:val="tr-TR"/>
              </w:rPr>
              <w:t xml:space="preserve">Mahkeme bu incelemeyi yaparken </w:t>
            </w:r>
            <w:r w:rsidR="00934CDD" w:rsidRPr="00934CDD">
              <w:rPr>
                <w:lang w:val="tr-TR"/>
              </w:rPr>
              <w:t>makul şüphenin varlığının kabulü için kamu otoritelerinin içten ve iyi niyetli şüpheleri</w:t>
            </w:r>
            <w:r w:rsidR="00934CDD">
              <w:rPr>
                <w:lang w:val="tr-TR"/>
              </w:rPr>
              <w:t xml:space="preserve">ni yeterli bulmuyor. Elbette burada </w:t>
            </w:r>
            <w:r w:rsidR="00934CDD" w:rsidRPr="00934CDD">
              <w:rPr>
                <w:lang w:val="tr-TR"/>
              </w:rPr>
              <w:t>bir kişiye herhangi bir suç isnat etmek için gerekli olan tüm delillerin elde edilmiş olması da gerekmemektedir</w:t>
            </w:r>
            <w:r w:rsidR="00934CDD">
              <w:rPr>
                <w:lang w:val="tr-TR"/>
              </w:rPr>
              <w:t xml:space="preserve"> (örnek içtihat için, </w:t>
            </w:r>
            <w:r w:rsidR="00934CDD" w:rsidRPr="00934CDD">
              <w:rPr>
                <w:i/>
                <w:lang w:val="tr-TR"/>
              </w:rPr>
              <w:t>Goussinski/Rusya</w:t>
            </w:r>
            <w:r w:rsidR="00934CDD">
              <w:rPr>
                <w:lang w:val="tr-TR"/>
              </w:rPr>
              <w:t xml:space="preserve">, </w:t>
            </w:r>
            <w:r w:rsidR="00934CDD" w:rsidRPr="00934CDD">
              <w:rPr>
                <w:lang w:val="tr-TR"/>
              </w:rPr>
              <w:t>no 70276/01, AİHS 2004-IV</w:t>
            </w:r>
            <w:r w:rsidR="00934CDD">
              <w:rPr>
                <w:lang w:val="tr-TR"/>
              </w:rPr>
              <w:t xml:space="preserve">, </w:t>
            </w:r>
            <w:r w:rsidR="00934CDD" w:rsidRPr="00934CDD">
              <w:rPr>
                <w:i/>
                <w:lang w:val="tr-TR"/>
              </w:rPr>
              <w:t>Fox, Campbell ve Hartley/Birleşik Krallık</w:t>
            </w:r>
            <w:r w:rsidR="00934CDD" w:rsidRPr="00934CDD">
              <w:rPr>
                <w:lang w:val="tr-TR"/>
              </w:rPr>
              <w:t>, nos 12244/86 12245/86 12383/86, 30 Ağustos 1990</w:t>
            </w:r>
            <w:r w:rsidR="00934CDD">
              <w:rPr>
                <w:lang w:val="tr-TR"/>
              </w:rPr>
              <w:t>)</w:t>
            </w:r>
            <w:r w:rsidR="00934CDD" w:rsidRPr="00934CDD">
              <w:rPr>
                <w:lang w:val="tr-TR"/>
              </w:rPr>
              <w:t>.</w:t>
            </w:r>
          </w:p>
        </w:tc>
      </w:tr>
      <w:tr w:rsidR="004655A8" w:rsidRPr="005E7FE2" w14:paraId="6DF53888" w14:textId="77777777" w:rsidTr="006405A5">
        <w:trPr>
          <w:trHeight w:val="70"/>
        </w:trPr>
        <w:tc>
          <w:tcPr>
            <w:tcW w:w="4531" w:type="dxa"/>
          </w:tcPr>
          <w:p w14:paraId="59BE90DE" w14:textId="77777777" w:rsidR="004655A8" w:rsidRPr="004655A8" w:rsidRDefault="004655A8" w:rsidP="004655A8">
            <w:pPr>
              <w:spacing w:after="160" w:line="259" w:lineRule="auto"/>
              <w:rPr>
                <w:lang w:val="tr-TR"/>
              </w:rPr>
            </w:pPr>
            <w:r w:rsidRPr="005E7FE2">
              <w:rPr>
                <w:lang w:val="tr-TR"/>
              </w:rPr>
              <w:t>Tutuksuz</w:t>
            </w:r>
            <w:r w:rsidRPr="004655A8">
              <w:rPr>
                <w:lang w:val="tr-TR"/>
              </w:rPr>
              <w:t xml:space="preserve"> yargılanan sanık hakkında, verilen hükümdeki cezanın yüksek olması, tek başına kaçma şüphesine neden olur mu ve tutuklama gerekçesi yapılabilir mi?</w:t>
            </w:r>
          </w:p>
        </w:tc>
        <w:tc>
          <w:tcPr>
            <w:tcW w:w="4531" w:type="dxa"/>
          </w:tcPr>
          <w:p w14:paraId="7EC88723" w14:textId="371793B0" w:rsidR="004655A8" w:rsidRPr="00934CDD" w:rsidRDefault="00934CDD" w:rsidP="00934CDD">
            <w:pPr>
              <w:spacing w:after="160" w:line="259" w:lineRule="auto"/>
              <w:jc w:val="both"/>
              <w:rPr>
                <w:lang w:val="tr-TR"/>
              </w:rPr>
            </w:pPr>
            <w:r>
              <w:rPr>
                <w:lang w:val="tr-TR"/>
              </w:rPr>
              <w:t>Potansiyel cezan</w:t>
            </w:r>
            <w:r>
              <w:rPr>
                <w:rFonts w:cstheme="minorHAnsi"/>
                <w:lang w:val="tr-TR"/>
              </w:rPr>
              <w:t>ı</w:t>
            </w:r>
            <w:r>
              <w:rPr>
                <w:lang w:val="tr-TR"/>
              </w:rPr>
              <w:t>n a</w:t>
            </w:r>
            <w:r>
              <w:rPr>
                <w:rFonts w:ascii="Calibri" w:hAnsi="Calibri" w:cs="Calibri"/>
                <w:lang w:val="tr-TR"/>
              </w:rPr>
              <w:t>ğ</w:t>
            </w:r>
            <w:r>
              <w:rPr>
                <w:rFonts w:cstheme="minorHAnsi"/>
                <w:lang w:val="tr-TR"/>
              </w:rPr>
              <w:t>ı</w:t>
            </w:r>
            <w:r>
              <w:rPr>
                <w:lang w:val="tr-TR"/>
              </w:rPr>
              <w:t>rl</w:t>
            </w:r>
            <w:r>
              <w:rPr>
                <w:rFonts w:ascii="Calibri" w:hAnsi="Calibri" w:cs="Calibri"/>
                <w:lang w:val="tr-TR"/>
              </w:rPr>
              <w:t>ı</w:t>
            </w:r>
            <w:r>
              <w:rPr>
                <w:rFonts w:cstheme="minorHAnsi"/>
                <w:lang w:val="tr-TR"/>
              </w:rPr>
              <w:t>ğ</w:t>
            </w:r>
            <w:r>
              <w:rPr>
                <w:rFonts w:ascii="Calibri" w:hAnsi="Calibri" w:cs="Calibri"/>
                <w:lang w:val="tr-TR"/>
              </w:rPr>
              <w:t>ı</w:t>
            </w:r>
            <w:r>
              <w:rPr>
                <w:lang w:val="tr-TR"/>
              </w:rPr>
              <w:t xml:space="preserve"> 5 § 1 c) ve 5 § 3 maddeleri aç</w:t>
            </w:r>
            <w:r>
              <w:rPr>
                <w:rFonts w:cstheme="minorHAnsi"/>
                <w:lang w:val="tr-TR"/>
              </w:rPr>
              <w:t>ı</w:t>
            </w:r>
            <w:r>
              <w:rPr>
                <w:lang w:val="tr-TR"/>
              </w:rPr>
              <w:t>s</w:t>
            </w:r>
            <w:r>
              <w:rPr>
                <w:rFonts w:ascii="Calibri" w:hAnsi="Calibri" w:cs="Calibri"/>
                <w:lang w:val="tr-TR"/>
              </w:rPr>
              <w:t>ı</w:t>
            </w:r>
            <w:r>
              <w:rPr>
                <w:lang w:val="tr-TR"/>
              </w:rPr>
              <w:t>ndan önem arz etmiyor (</w:t>
            </w:r>
            <w:r w:rsidRPr="009B128D">
              <w:rPr>
                <w:i/>
                <w:lang w:val="tr-TR"/>
              </w:rPr>
              <w:t>Morganti/Fransa</w:t>
            </w:r>
            <w:r w:rsidRPr="009B128D">
              <w:rPr>
                <w:lang w:val="tr-TR"/>
              </w:rPr>
              <w:t>, 13 Temmuz 1995, § 62, Seri A no 320-C</w:t>
            </w:r>
            <w:r>
              <w:rPr>
                <w:lang w:val="tr-TR"/>
              </w:rPr>
              <w:t>). Alternatif önlemlerin neden yetersiz kalaca</w:t>
            </w:r>
            <w:r>
              <w:rPr>
                <w:rFonts w:cstheme="minorHAnsi"/>
                <w:lang w:val="tr-TR"/>
              </w:rPr>
              <w:t>ğ</w:t>
            </w:r>
            <w:r>
              <w:rPr>
                <w:rFonts w:ascii="Calibri" w:hAnsi="Calibri" w:cs="Calibri"/>
                <w:lang w:val="tr-TR"/>
              </w:rPr>
              <w:t>ı</w:t>
            </w:r>
            <w:r>
              <w:rPr>
                <w:lang w:val="tr-TR"/>
              </w:rPr>
              <w:t xml:space="preserve"> da tart</w:t>
            </w:r>
            <w:r>
              <w:rPr>
                <w:rFonts w:cstheme="minorHAnsi"/>
                <w:lang w:val="tr-TR"/>
              </w:rPr>
              <w:t>ı</w:t>
            </w:r>
            <w:r>
              <w:rPr>
                <w:rFonts w:ascii="Calibri" w:hAnsi="Calibri" w:cs="Calibri"/>
                <w:lang w:val="tr-TR"/>
              </w:rPr>
              <w:t>ş</w:t>
            </w:r>
            <w:r>
              <w:rPr>
                <w:rFonts w:cstheme="minorHAnsi"/>
                <w:lang w:val="tr-TR"/>
              </w:rPr>
              <w:t>ı</w:t>
            </w:r>
            <w:r>
              <w:rPr>
                <w:lang w:val="tr-TR"/>
              </w:rPr>
              <w:t>lmal</w:t>
            </w:r>
            <w:r>
              <w:rPr>
                <w:rFonts w:ascii="Calibri" w:hAnsi="Calibri" w:cs="Calibri"/>
                <w:lang w:val="tr-TR"/>
              </w:rPr>
              <w:t>ı</w:t>
            </w:r>
            <w:r>
              <w:rPr>
                <w:lang w:val="tr-TR"/>
              </w:rPr>
              <w:t>. Örne</w:t>
            </w:r>
            <w:r>
              <w:rPr>
                <w:rFonts w:cstheme="minorHAnsi"/>
                <w:lang w:val="tr-TR"/>
              </w:rPr>
              <w:t>ğ</w:t>
            </w:r>
            <w:r>
              <w:rPr>
                <w:lang w:val="tr-TR"/>
              </w:rPr>
              <w:t>in pasaporta el konulmas</w:t>
            </w:r>
            <w:r>
              <w:rPr>
                <w:rFonts w:ascii="Calibri" w:hAnsi="Calibri" w:cs="Calibri"/>
                <w:lang w:val="tr-TR"/>
              </w:rPr>
              <w:t>ı</w:t>
            </w:r>
            <w:r>
              <w:rPr>
                <w:lang w:val="tr-TR"/>
              </w:rPr>
              <w:t>, yurt d</w:t>
            </w:r>
            <w:r>
              <w:rPr>
                <w:rFonts w:cstheme="minorHAnsi"/>
                <w:lang w:val="tr-TR"/>
              </w:rPr>
              <w:t>ı</w:t>
            </w:r>
            <w:r>
              <w:rPr>
                <w:rFonts w:ascii="Calibri" w:hAnsi="Calibri" w:cs="Calibri"/>
                <w:lang w:val="tr-TR"/>
              </w:rPr>
              <w:t>ş</w:t>
            </w:r>
            <w:r>
              <w:rPr>
                <w:rFonts w:cstheme="minorHAnsi"/>
                <w:lang w:val="tr-TR"/>
              </w:rPr>
              <w:t>ı</w:t>
            </w:r>
            <w:r>
              <w:rPr>
                <w:lang w:val="tr-TR"/>
              </w:rPr>
              <w:t xml:space="preserve"> ç</w:t>
            </w:r>
            <w:r>
              <w:rPr>
                <w:rFonts w:ascii="Calibri" w:hAnsi="Calibri" w:cs="Calibri"/>
                <w:lang w:val="tr-TR"/>
              </w:rPr>
              <w:t>ı</w:t>
            </w:r>
            <w:r>
              <w:rPr>
                <w:lang w:val="tr-TR"/>
              </w:rPr>
              <w:t>k</w:t>
            </w:r>
            <w:r>
              <w:rPr>
                <w:rFonts w:cstheme="minorHAnsi"/>
                <w:lang w:val="tr-TR"/>
              </w:rPr>
              <w:t>ı</w:t>
            </w:r>
            <w:r>
              <w:rPr>
                <w:rFonts w:ascii="Calibri" w:hAnsi="Calibri" w:cs="Calibri"/>
                <w:lang w:val="tr-TR"/>
              </w:rPr>
              <w:t>ş</w:t>
            </w:r>
            <w:r>
              <w:rPr>
                <w:lang w:val="tr-TR"/>
              </w:rPr>
              <w:t xml:space="preserve"> yasa</w:t>
            </w:r>
            <w:r>
              <w:rPr>
                <w:rFonts w:cstheme="minorHAnsi"/>
                <w:lang w:val="tr-TR"/>
              </w:rPr>
              <w:t>ğ</w:t>
            </w:r>
            <w:r>
              <w:rPr>
                <w:rFonts w:ascii="Calibri" w:hAnsi="Calibri" w:cs="Calibri"/>
                <w:lang w:val="tr-TR"/>
              </w:rPr>
              <w:t>ı</w:t>
            </w:r>
            <w:r>
              <w:rPr>
                <w:lang w:val="tr-TR"/>
              </w:rPr>
              <w:t xml:space="preserve"> karar</w:t>
            </w:r>
            <w:r>
              <w:rPr>
                <w:rFonts w:cstheme="minorHAnsi"/>
                <w:lang w:val="tr-TR"/>
              </w:rPr>
              <w:t>ı</w:t>
            </w:r>
            <w:r>
              <w:rPr>
                <w:lang w:val="tr-TR"/>
              </w:rPr>
              <w:t xml:space="preserve"> verilmesi ve imza yükümlülü</w:t>
            </w:r>
            <w:r>
              <w:rPr>
                <w:rFonts w:ascii="Calibri" w:hAnsi="Calibri" w:cs="Calibri"/>
                <w:lang w:val="tr-TR"/>
              </w:rPr>
              <w:t>ğ</w:t>
            </w:r>
            <w:r>
              <w:rPr>
                <w:lang w:val="tr-TR"/>
              </w:rPr>
              <w:t>ü gibi önlemlerin somut olayda neden yetersiz kalaca</w:t>
            </w:r>
            <w:r>
              <w:rPr>
                <w:rFonts w:cstheme="minorHAnsi"/>
                <w:lang w:val="tr-TR"/>
              </w:rPr>
              <w:t>ğ</w:t>
            </w:r>
            <w:r>
              <w:rPr>
                <w:rFonts w:ascii="Calibri" w:hAnsi="Calibri" w:cs="Calibri"/>
                <w:lang w:val="tr-TR"/>
              </w:rPr>
              <w:t>ı</w:t>
            </w:r>
            <w:r>
              <w:rPr>
                <w:lang w:val="tr-TR"/>
              </w:rPr>
              <w:t>n</w:t>
            </w:r>
            <w:r>
              <w:rPr>
                <w:rFonts w:cstheme="minorHAnsi"/>
                <w:lang w:val="tr-TR"/>
              </w:rPr>
              <w:t>ı</w:t>
            </w:r>
            <w:r>
              <w:rPr>
                <w:lang w:val="tr-TR"/>
              </w:rPr>
              <w:t>n tart</w:t>
            </w:r>
            <w:r>
              <w:rPr>
                <w:rFonts w:ascii="Calibri" w:hAnsi="Calibri" w:cs="Calibri"/>
                <w:lang w:val="tr-TR"/>
              </w:rPr>
              <w:t>ı</w:t>
            </w:r>
            <w:r>
              <w:rPr>
                <w:rFonts w:cstheme="minorHAnsi"/>
                <w:lang w:val="tr-TR"/>
              </w:rPr>
              <w:t>ş</w:t>
            </w:r>
            <w:r>
              <w:rPr>
                <w:rFonts w:ascii="Calibri" w:hAnsi="Calibri" w:cs="Calibri"/>
                <w:lang w:val="tr-TR"/>
              </w:rPr>
              <w:t>ı</w:t>
            </w:r>
            <w:r>
              <w:rPr>
                <w:lang w:val="tr-TR"/>
              </w:rPr>
              <w:t>lmas</w:t>
            </w:r>
            <w:r>
              <w:rPr>
                <w:rFonts w:cstheme="minorHAnsi"/>
                <w:lang w:val="tr-TR"/>
              </w:rPr>
              <w:t>ı</w:t>
            </w:r>
            <w:r>
              <w:rPr>
                <w:lang w:val="tr-TR"/>
              </w:rPr>
              <w:t xml:space="preserve"> Sözle</w:t>
            </w:r>
            <w:r>
              <w:rPr>
                <w:rFonts w:ascii="Calibri" w:hAnsi="Calibri" w:cs="Calibri"/>
                <w:lang w:val="tr-TR"/>
              </w:rPr>
              <w:t>ş</w:t>
            </w:r>
            <w:r>
              <w:rPr>
                <w:lang w:val="tr-TR"/>
              </w:rPr>
              <w:t>me’ye uygunluk bak</w:t>
            </w:r>
            <w:r>
              <w:rPr>
                <w:rFonts w:cstheme="minorHAnsi"/>
                <w:lang w:val="tr-TR"/>
              </w:rPr>
              <w:t>ı</w:t>
            </w:r>
            <w:r>
              <w:rPr>
                <w:lang w:val="tr-TR"/>
              </w:rPr>
              <w:t>m</w:t>
            </w:r>
            <w:r>
              <w:rPr>
                <w:rFonts w:ascii="Calibri" w:hAnsi="Calibri" w:cs="Calibri"/>
                <w:lang w:val="tr-TR"/>
              </w:rPr>
              <w:t>ı</w:t>
            </w:r>
            <w:r>
              <w:rPr>
                <w:lang w:val="tr-TR"/>
              </w:rPr>
              <w:t>ndan önemli emareler olacakt</w:t>
            </w:r>
            <w:r>
              <w:rPr>
                <w:rFonts w:cstheme="minorHAnsi"/>
                <w:lang w:val="tr-TR"/>
              </w:rPr>
              <w:t>ı</w:t>
            </w:r>
            <w:r>
              <w:rPr>
                <w:lang w:val="tr-TR"/>
              </w:rPr>
              <w:t>r.</w:t>
            </w:r>
          </w:p>
        </w:tc>
      </w:tr>
    </w:tbl>
    <w:p w14:paraId="49677572" w14:textId="77777777" w:rsidR="00133F44" w:rsidRPr="00934CDD" w:rsidRDefault="00007944">
      <w:pPr>
        <w:rPr>
          <w:lang w:val="tr-TR"/>
        </w:rPr>
      </w:pPr>
    </w:p>
    <w:sectPr w:rsidR="00133F44" w:rsidRPr="00934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8"/>
    <w:rsid w:val="00007944"/>
    <w:rsid w:val="004655A8"/>
    <w:rsid w:val="005E7FE2"/>
    <w:rsid w:val="00667552"/>
    <w:rsid w:val="007B5AC3"/>
    <w:rsid w:val="008E5DA2"/>
    <w:rsid w:val="00934CDD"/>
    <w:rsid w:val="009B128D"/>
    <w:rsid w:val="00C730E2"/>
    <w:rsid w:val="00DA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26073"/>
  <w15:docId w15:val="{3FE52BD7-473D-45DA-B9FD-4491110A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BOYOGLU Basak</dc:creator>
  <cp:lastModifiedBy>Basak</cp:lastModifiedBy>
  <cp:revision>4</cp:revision>
  <dcterms:created xsi:type="dcterms:W3CDTF">2020-10-20T06:46:00Z</dcterms:created>
  <dcterms:modified xsi:type="dcterms:W3CDTF">2020-10-20T07:05:00Z</dcterms:modified>
</cp:coreProperties>
</file>